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4BCC" w14:textId="1112F73E" w:rsidR="006845D5" w:rsidRPr="00635725" w:rsidRDefault="006845D5" w:rsidP="006845D5">
      <w:pPr>
        <w:rPr>
          <w:b/>
          <w:bCs/>
        </w:rPr>
      </w:pPr>
      <w:r w:rsidRPr="00635725">
        <w:rPr>
          <w:rFonts w:hint="eastAsia"/>
          <w:b/>
          <w:bCs/>
        </w:rPr>
        <w:t>疑義解釈（その</w:t>
      </w:r>
      <w:r w:rsidRPr="00635725">
        <w:rPr>
          <w:b/>
          <w:bCs/>
        </w:rPr>
        <w:t>7）</w:t>
      </w:r>
    </w:p>
    <w:p w14:paraId="20C3A2DC" w14:textId="77777777" w:rsidR="006845D5" w:rsidRPr="00635725" w:rsidRDefault="006845D5" w:rsidP="006845D5">
      <w:pPr>
        <w:rPr>
          <w:b/>
          <w:bCs/>
        </w:rPr>
      </w:pPr>
      <w:r w:rsidRPr="00635725">
        <w:rPr>
          <w:rFonts w:hint="eastAsia"/>
          <w:b/>
          <w:bCs/>
        </w:rPr>
        <w:t>問１</w:t>
      </w:r>
      <w:r w:rsidRPr="00635725">
        <w:rPr>
          <w:b/>
          <w:bCs/>
        </w:rPr>
        <w:t xml:space="preserve"> 「Ａ０００」電子的診療情報連携体制整備加算の施設基準において、「地域の複数の医療機関間で検査結果や画像情報等を含む診療情報を共有又は閲覧できるネットワークであって、以下の（イ）から（ハ）の全てを満たすものを活用する体制を有していること。」とあるが、具体的にどの程度活用していればよいか。</w:t>
      </w:r>
    </w:p>
    <w:p w14:paraId="0C4B8BEB" w14:textId="77777777" w:rsidR="006845D5" w:rsidRPr="00635725" w:rsidRDefault="006845D5" w:rsidP="006845D5">
      <w:pPr>
        <w:rPr>
          <w:b/>
          <w:bCs/>
        </w:rPr>
      </w:pPr>
    </w:p>
    <w:p w14:paraId="4943807A" w14:textId="77777777" w:rsidR="006845D5" w:rsidRDefault="006845D5" w:rsidP="006845D5">
      <w:r w:rsidRPr="00635725">
        <w:rPr>
          <w:rFonts w:hint="eastAsia"/>
          <w:b/>
          <w:bCs/>
        </w:rPr>
        <w:t>（答）当該保険医療機関を受診するいずれかの患者について、</w:t>
      </w:r>
      <w:r w:rsidRPr="00635725">
        <w:rPr>
          <w:rFonts w:hint="eastAsia"/>
          <w:b/>
          <w:bCs/>
          <w:color w:val="EE0000"/>
        </w:rPr>
        <w:t>少なくとも概ね２月に１回以上は診療情報の閲覧又は共有を行うこと</w:t>
      </w:r>
      <w:r w:rsidRPr="00635725">
        <w:rPr>
          <w:rFonts w:hint="eastAsia"/>
          <w:b/>
          <w:bCs/>
        </w:rPr>
        <w:t>。ただし、当該ネットワークに加入した月からその３月後まで（例えば、令和８年７月に加入した場合、令和８年７月から</w:t>
      </w:r>
      <w:r w:rsidRPr="00635725">
        <w:rPr>
          <w:b/>
          <w:bCs/>
        </w:rPr>
        <w:t xml:space="preserve"> 10 月まで。なお、令和８年５月 31 日までに加入していた保険医療機関については令和８年６月１日から９月 30 日までとする。）はこの限りでない。</w:t>
      </w:r>
    </w:p>
    <w:p w14:paraId="3DA49473" w14:textId="77777777" w:rsidR="006845D5" w:rsidRDefault="006845D5" w:rsidP="006845D5"/>
    <w:p w14:paraId="6DDFC83B" w14:textId="77777777" w:rsidR="006845D5" w:rsidRPr="00635725" w:rsidRDefault="006845D5" w:rsidP="006845D5">
      <w:pPr>
        <w:rPr>
          <w:b/>
          <w:bCs/>
        </w:rPr>
      </w:pPr>
      <w:r w:rsidRPr="00635725">
        <w:rPr>
          <w:rFonts w:hint="eastAsia"/>
          <w:b/>
          <w:bCs/>
        </w:rPr>
        <w:t>問２</w:t>
      </w:r>
      <w:r w:rsidRPr="00635725">
        <w:rPr>
          <w:b/>
          <w:bCs/>
        </w:rPr>
        <w:t xml:space="preserve"> 「Ａ０００」電子的診療情報連携体制整備加算の施設基準において、「当該ネットワークに参加していること及び実際に患者の情報を共有している実績のある保険医療機関の名称について、当該保険医療機関の見やすい場所に掲示していること。」とあるが、当該保険医療機関の掲示すべき保険医療機関の名称は代表的な保険医療機関のみでよいのか、全ての保険医療機関を掲示する必要があるのか。</w:t>
      </w:r>
    </w:p>
    <w:p w14:paraId="3D117213" w14:textId="77777777" w:rsidR="006845D5" w:rsidRPr="00635725" w:rsidRDefault="006845D5" w:rsidP="006845D5">
      <w:pPr>
        <w:rPr>
          <w:b/>
          <w:bCs/>
        </w:rPr>
      </w:pPr>
    </w:p>
    <w:p w14:paraId="61521971" w14:textId="77777777" w:rsidR="006845D5" w:rsidRPr="00635725" w:rsidRDefault="006845D5" w:rsidP="006845D5">
      <w:pPr>
        <w:rPr>
          <w:b/>
          <w:bCs/>
        </w:rPr>
      </w:pPr>
      <w:r w:rsidRPr="00635725">
        <w:rPr>
          <w:rFonts w:hint="eastAsia"/>
          <w:b/>
          <w:bCs/>
        </w:rPr>
        <w:t>（答）当該保険医療機関が診療情報を共有又は閲覧している</w:t>
      </w:r>
      <w:r w:rsidRPr="00635725">
        <w:rPr>
          <w:rFonts w:hint="eastAsia"/>
          <w:b/>
          <w:bCs/>
          <w:color w:val="EE0000"/>
        </w:rPr>
        <w:t>実績のある全ての保険医療機関の名称を掲載すること</w:t>
      </w:r>
      <w:r w:rsidRPr="00635725">
        <w:rPr>
          <w:rFonts w:hint="eastAsia"/>
          <w:b/>
          <w:bCs/>
        </w:rPr>
        <w:t>。</w:t>
      </w:r>
    </w:p>
    <w:p w14:paraId="25A6FC63" w14:textId="77777777" w:rsidR="006845D5" w:rsidRPr="00635725" w:rsidRDefault="006845D5" w:rsidP="006845D5">
      <w:pPr>
        <w:rPr>
          <w:b/>
          <w:bCs/>
        </w:rPr>
      </w:pPr>
      <w:r w:rsidRPr="00635725">
        <w:rPr>
          <w:rFonts w:hint="eastAsia"/>
          <w:b/>
          <w:bCs/>
        </w:rPr>
        <w:t>なお、当該他の保険医療機関の名称は、</w:t>
      </w:r>
      <w:r w:rsidRPr="00635725">
        <w:rPr>
          <w:rFonts w:hint="eastAsia"/>
          <w:b/>
          <w:bCs/>
          <w:color w:val="EE0000"/>
        </w:rPr>
        <w:t>概ね３月に１回、定期的に更新すること</w:t>
      </w:r>
      <w:r w:rsidRPr="00635725">
        <w:rPr>
          <w:rFonts w:hint="eastAsia"/>
          <w:b/>
          <w:bCs/>
        </w:rPr>
        <w:t>。ただし、問１のただし書に該当する場合には、他の保険医療機関との共有実績ができた段階で速やかに掲載することとして差し支えない。</w:t>
      </w:r>
    </w:p>
    <w:p w14:paraId="122D30DE" w14:textId="77777777" w:rsidR="006845D5" w:rsidRPr="00635725" w:rsidRDefault="006845D5" w:rsidP="006845D5">
      <w:pPr>
        <w:rPr>
          <w:b/>
          <w:bCs/>
        </w:rPr>
      </w:pPr>
    </w:p>
    <w:p w14:paraId="6AB87263" w14:textId="77777777" w:rsidR="006845D5" w:rsidRPr="00635725" w:rsidRDefault="006845D5" w:rsidP="006845D5">
      <w:pPr>
        <w:rPr>
          <w:b/>
          <w:bCs/>
        </w:rPr>
      </w:pPr>
      <w:r w:rsidRPr="00635725">
        <w:rPr>
          <w:rFonts w:hint="eastAsia"/>
          <w:b/>
          <w:bCs/>
        </w:rPr>
        <w:t>問３</w:t>
      </w:r>
      <w:r w:rsidRPr="00635725">
        <w:rPr>
          <w:b/>
          <w:bCs/>
        </w:rPr>
        <w:t xml:space="preserve"> 「Ａ０００」電子的診療情報連携体制整備加算の施設基準に「電子処方箋を発行する体制又は調剤情報を電子処方箋管理サービスに登録する体制」とあるが、当該保険医療機関の全ての医師が電子処方箋システムを利用できる体制が必要となるか。</w:t>
      </w:r>
    </w:p>
    <w:p w14:paraId="41093394" w14:textId="77777777" w:rsidR="006845D5" w:rsidRPr="00635725" w:rsidRDefault="006845D5" w:rsidP="006845D5">
      <w:pPr>
        <w:rPr>
          <w:b/>
          <w:bCs/>
        </w:rPr>
      </w:pPr>
    </w:p>
    <w:p w14:paraId="190C9906" w14:textId="77777777" w:rsidR="006845D5" w:rsidRPr="00635725" w:rsidRDefault="006845D5" w:rsidP="006845D5">
      <w:pPr>
        <w:rPr>
          <w:b/>
          <w:bCs/>
        </w:rPr>
      </w:pPr>
      <w:r w:rsidRPr="00635725">
        <w:rPr>
          <w:rFonts w:hint="eastAsia"/>
          <w:b/>
          <w:bCs/>
        </w:rPr>
        <w:t>（答）原則として、当該保険医療機関において処方を行う医師全員が電子処方箋を発行できること。ただし、当面の間、</w:t>
      </w:r>
      <w:r w:rsidRPr="00635725">
        <w:rPr>
          <w:rFonts w:hint="eastAsia"/>
          <w:b/>
          <w:bCs/>
          <w:color w:val="EE0000"/>
        </w:rPr>
        <w:t>当該保険医療機関において２名以上（常勤医師が１名のみの場合は１名以上）の常勤医師が電子処方箋を発行できればよい</w:t>
      </w:r>
      <w:r w:rsidRPr="00635725">
        <w:rPr>
          <w:rFonts w:hint="eastAsia"/>
          <w:b/>
          <w:bCs/>
        </w:rPr>
        <w:t>。なお、処方を行う医師であって、電子処方箋を発行できない者は引換番号付き紙処方箋を処方すること。</w:t>
      </w:r>
    </w:p>
    <w:p w14:paraId="13573002" w14:textId="77777777" w:rsidR="006845D5" w:rsidRDefault="006845D5" w:rsidP="006845D5"/>
    <w:p w14:paraId="12D97261" w14:textId="77777777" w:rsidR="006845D5" w:rsidRPr="00635725" w:rsidRDefault="006845D5" w:rsidP="006845D5">
      <w:pPr>
        <w:rPr>
          <w:b/>
          <w:bCs/>
        </w:rPr>
      </w:pPr>
      <w:r w:rsidRPr="00635725">
        <w:rPr>
          <w:rFonts w:hint="eastAsia"/>
          <w:b/>
          <w:bCs/>
        </w:rPr>
        <w:t>疑義解釈（その</w:t>
      </w:r>
      <w:r w:rsidRPr="00635725">
        <w:rPr>
          <w:b/>
          <w:bCs/>
        </w:rPr>
        <w:t>8）</w:t>
      </w:r>
    </w:p>
    <w:p w14:paraId="3B05A8D0" w14:textId="77777777" w:rsidR="006845D5" w:rsidRPr="00635725" w:rsidRDefault="006845D5" w:rsidP="006845D5">
      <w:pPr>
        <w:rPr>
          <w:b/>
          <w:bCs/>
        </w:rPr>
      </w:pPr>
      <w:r w:rsidRPr="00635725">
        <w:rPr>
          <w:rFonts w:hint="eastAsia"/>
          <w:b/>
          <w:bCs/>
        </w:rPr>
        <w:t>問１</w:t>
      </w:r>
      <w:r w:rsidRPr="00635725">
        <w:rPr>
          <w:b/>
          <w:bCs/>
        </w:rPr>
        <w:t xml:space="preserve"> 「Ａ０００」電子的診療情報連携体制整備加算の施設基準において、「地域の複数の医療機関間で検査結果や画像情報等を含む診療情報を共有又は閲覧できるネットワーク」</w:t>
      </w:r>
      <w:r w:rsidRPr="00635725">
        <w:rPr>
          <w:b/>
          <w:bCs/>
        </w:rPr>
        <w:lastRenderedPageBreak/>
        <w:t>とあるが、医療関係職種及び介護関係職種等がＩＣＴを用いて記録された情報を共有できるサービスにより、チャットやメーリングリストを用いて診療情報を共有する場合は当該要件を満たすか。</w:t>
      </w:r>
    </w:p>
    <w:p w14:paraId="632A0888" w14:textId="77777777" w:rsidR="006845D5" w:rsidRPr="00635725" w:rsidRDefault="006845D5" w:rsidP="006845D5">
      <w:pPr>
        <w:rPr>
          <w:b/>
          <w:bCs/>
        </w:rPr>
      </w:pPr>
    </w:p>
    <w:p w14:paraId="5E96227F" w14:textId="77777777" w:rsidR="006845D5" w:rsidRPr="00635725" w:rsidRDefault="006845D5" w:rsidP="006845D5">
      <w:pPr>
        <w:rPr>
          <w:b/>
          <w:bCs/>
        </w:rPr>
      </w:pPr>
      <w:r w:rsidRPr="00635725">
        <w:rPr>
          <w:rFonts w:hint="eastAsia"/>
          <w:b/>
          <w:bCs/>
        </w:rPr>
        <w:t>（答）当該要件を満たすには、診療情報提供料（Ⅰ）の検査・画像情報提供加算又は電子的診療情報評価料の施設基準を満たすネットワークであって、診療情報を提供する保険医療機関が電子カルテ情報を共有し、参加している保険医療機関が随時閲覧できるものであることが必要となる。</w:t>
      </w:r>
    </w:p>
    <w:p w14:paraId="40B63ADA" w14:textId="77777777" w:rsidR="006845D5" w:rsidRPr="00635725" w:rsidRDefault="006845D5" w:rsidP="006845D5">
      <w:pPr>
        <w:rPr>
          <w:b/>
          <w:bCs/>
        </w:rPr>
      </w:pPr>
      <w:r w:rsidRPr="00635725">
        <w:rPr>
          <w:rFonts w:hint="eastAsia"/>
          <w:b/>
          <w:bCs/>
        </w:rPr>
        <w:t>したがって、単に医療関係職種等がチャット等により日々の報告や上記の一部の情報を共有するためのネットワークでは、当該要件は満たさない。</w:t>
      </w:r>
    </w:p>
    <w:p w14:paraId="29FC996F" w14:textId="77777777" w:rsidR="006845D5" w:rsidRDefault="006845D5" w:rsidP="006845D5"/>
    <w:p w14:paraId="5A9701CD" w14:textId="77777777" w:rsidR="006845D5" w:rsidRPr="00C278DA" w:rsidRDefault="006845D5" w:rsidP="006845D5">
      <w:pPr>
        <w:rPr>
          <w:color w:val="808080" w:themeColor="background1" w:themeShade="80"/>
        </w:rPr>
      </w:pPr>
      <w:r w:rsidRPr="00C278DA">
        <w:rPr>
          <w:rFonts w:hint="eastAsia"/>
          <w:color w:val="808080" w:themeColor="background1" w:themeShade="80"/>
        </w:rPr>
        <w:t>（参考）診療情報提供料（Ⅰ）の検査・画像情報提供加算又は電子的診療情報評価料の施設基準</w:t>
      </w:r>
    </w:p>
    <w:p w14:paraId="6E2D0470" w14:textId="77777777" w:rsidR="006845D5" w:rsidRPr="00C278DA" w:rsidRDefault="006845D5" w:rsidP="006845D5">
      <w:pPr>
        <w:rPr>
          <w:color w:val="808080" w:themeColor="background1" w:themeShade="80"/>
        </w:rPr>
      </w:pPr>
      <w:r w:rsidRPr="00C278DA">
        <w:rPr>
          <w:color w:val="808080" w:themeColor="background1" w:themeShade="80"/>
        </w:rPr>
        <w:t>(１) 他の医療機関等と連携し、患者の医療情報に関する電子的な送受信又は閲覧が可能なネットワークを構築していること。なお、電子的な送受信又は閲覧が可能な情報には、原則として、検査結果、画像情報、投薬内容、注射内容及び退院時要約が含まれていること（診療所にあっては、画像情報・退院時要約については閲覧できるのみでもよい。）。また、画像診断の所見についても含まれていることが望ましい。</w:t>
      </w:r>
    </w:p>
    <w:p w14:paraId="50103D44" w14:textId="77777777" w:rsidR="006845D5" w:rsidRPr="00C278DA" w:rsidRDefault="006845D5" w:rsidP="006845D5">
      <w:pPr>
        <w:rPr>
          <w:color w:val="808080" w:themeColor="background1" w:themeShade="80"/>
        </w:rPr>
      </w:pPr>
      <w:r w:rsidRPr="00C278DA">
        <w:rPr>
          <w:color w:val="808080" w:themeColor="background1" w:themeShade="80"/>
        </w:rPr>
        <w:t>(２) 常時データを閲覧できるネットワークを用いる際に、ストレージを活用する場合には、原則として厚生労働省標準規格に基づく標準化されたストレージ機能を有する情報蓄積環境を確保すること（ただし、当該規格を導入するためのシステム改修が必要な場合は、それを行うまでの間はこの限りでない。）。また、診療情報提供書を送付する際には、原則として、厚生労働省標準規格に基づく診療情報提供書様式を用いること。</w:t>
      </w:r>
    </w:p>
    <w:p w14:paraId="1A0B27DB" w14:textId="77777777" w:rsidR="006845D5" w:rsidRPr="00C278DA" w:rsidRDefault="006845D5" w:rsidP="006845D5">
      <w:pPr>
        <w:rPr>
          <w:color w:val="808080" w:themeColor="background1" w:themeShade="80"/>
        </w:rPr>
      </w:pPr>
      <w:r w:rsidRPr="00C278DA">
        <w:rPr>
          <w:color w:val="808080" w:themeColor="background1" w:themeShade="80"/>
        </w:rPr>
        <w:t>(３) 情報の提供側の保険医療機関においては、提供した診療情報又は閲覧可能とした情報の範囲及び日時が記録されており、必要に応じ随時確認できること。また、</w:t>
      </w:r>
      <w:r w:rsidRPr="006231E2">
        <w:rPr>
          <w:color w:val="EE0000"/>
        </w:rPr>
        <w:t>情報を提供された側の保険医療機関においては、提供を受けた情報を保管している、又は閲覧した情報及び閲覧者名を含むアクセスログを一年間記録していること</w:t>
      </w:r>
      <w:r w:rsidRPr="00C278DA">
        <w:rPr>
          <w:color w:val="808080" w:themeColor="background1" w:themeShade="80"/>
        </w:rPr>
        <w:t>。これらの記録について、(１)のネットワークを運営する事務局が保険医療機関に代わって記録を行っている場合は、当該加算・評価料を算定する保険医療機関は、当該事務局から必要に応じて随時記録を取り寄せることができること。</w:t>
      </w:r>
    </w:p>
    <w:p w14:paraId="3904C158" w14:textId="77777777" w:rsidR="006845D5" w:rsidRDefault="006845D5" w:rsidP="006845D5"/>
    <w:p w14:paraId="067A1D12" w14:textId="77777777" w:rsidR="006845D5" w:rsidRPr="006231E2" w:rsidRDefault="006845D5" w:rsidP="006845D5">
      <w:pPr>
        <w:rPr>
          <w:b/>
          <w:bCs/>
        </w:rPr>
      </w:pPr>
      <w:r w:rsidRPr="006231E2">
        <w:rPr>
          <w:rFonts w:hint="eastAsia"/>
          <w:b/>
          <w:bCs/>
        </w:rPr>
        <w:t>問２</w:t>
      </w:r>
      <w:r w:rsidRPr="006231E2">
        <w:rPr>
          <w:b/>
          <w:bCs/>
        </w:rPr>
        <w:t xml:space="preserve"> 「Ａ０００」電子的診療情報連携体制整備加算の施設基準における「電子処方箋を発行する体制又は調剤情報を電子処方箋管理サービスに登録する体制を有していること。」という要件について、「疑義解釈資料の送付について（その７）」（令和８年５月 29 日事務連絡）別添１の問３において「当面の間、当該保険医療機関において２名以上（常勤医師が１名のみの場合は１名以上）の常勤医師が電子処方箋を発行できればよい。」とある</w:t>
      </w:r>
      <w:r w:rsidRPr="006231E2">
        <w:rPr>
          <w:b/>
          <w:bCs/>
        </w:rPr>
        <w:lastRenderedPageBreak/>
        <w:t>が、当該常勤医師が院外処方を行う場合には、常に電子処方箋を発行する必要があるのか。</w:t>
      </w:r>
    </w:p>
    <w:p w14:paraId="15B9F5B0" w14:textId="77777777" w:rsidR="006845D5" w:rsidRPr="006231E2" w:rsidRDefault="006845D5" w:rsidP="006845D5">
      <w:pPr>
        <w:rPr>
          <w:b/>
          <w:bCs/>
        </w:rPr>
      </w:pPr>
    </w:p>
    <w:p w14:paraId="1A13129E" w14:textId="77777777" w:rsidR="006845D5" w:rsidRPr="006231E2" w:rsidRDefault="006845D5" w:rsidP="006845D5">
      <w:pPr>
        <w:rPr>
          <w:b/>
          <w:bCs/>
        </w:rPr>
      </w:pPr>
      <w:r w:rsidRPr="006231E2">
        <w:rPr>
          <w:rFonts w:hint="eastAsia"/>
          <w:b/>
          <w:bCs/>
        </w:rPr>
        <w:t>（答）「疑義解釈資料の送付について（その４）」（令和８年４月</w:t>
      </w:r>
      <w:r w:rsidRPr="006231E2">
        <w:rPr>
          <w:b/>
          <w:bCs/>
        </w:rPr>
        <w:t xml:space="preserve"> 21 日事務連絡）</w:t>
      </w:r>
    </w:p>
    <w:p w14:paraId="68BDFB48" w14:textId="77777777" w:rsidR="006845D5" w:rsidRPr="006231E2" w:rsidRDefault="006845D5" w:rsidP="006845D5">
      <w:pPr>
        <w:rPr>
          <w:b/>
          <w:bCs/>
        </w:rPr>
      </w:pPr>
      <w:r w:rsidRPr="006231E2">
        <w:rPr>
          <w:rFonts w:hint="eastAsia"/>
          <w:b/>
          <w:bCs/>
        </w:rPr>
        <w:t>の別添１の問１にあるとおり、</w:t>
      </w:r>
      <w:r w:rsidRPr="006231E2">
        <w:rPr>
          <w:rFonts w:hint="eastAsia"/>
          <w:b/>
          <w:bCs/>
          <w:color w:val="EE0000"/>
        </w:rPr>
        <w:t>院外処方を行う場合には、原則として、電子処方箋を発行し、又は引換番号が印字された紙の処方箋を発行し処方情報の登録を行っていればよい</w:t>
      </w:r>
      <w:r w:rsidRPr="006231E2">
        <w:rPr>
          <w:rFonts w:hint="eastAsia"/>
          <w:b/>
          <w:bCs/>
        </w:rPr>
        <w:t>。</w:t>
      </w:r>
    </w:p>
    <w:p w14:paraId="3F519A86" w14:textId="77777777" w:rsidR="00C278DA" w:rsidRDefault="00C278DA" w:rsidP="006845D5">
      <w:pPr>
        <w:rPr>
          <w:rFonts w:hint="eastAsia"/>
        </w:rPr>
      </w:pPr>
    </w:p>
    <w:p w14:paraId="5B5DE8B9" w14:textId="77777777" w:rsidR="006845D5" w:rsidRPr="00C278DA" w:rsidRDefault="006845D5" w:rsidP="006845D5">
      <w:pPr>
        <w:rPr>
          <w:color w:val="808080" w:themeColor="background1" w:themeShade="80"/>
        </w:rPr>
      </w:pPr>
      <w:r w:rsidRPr="00C278DA">
        <w:rPr>
          <w:rFonts w:hint="eastAsia"/>
          <w:color w:val="808080" w:themeColor="background1" w:themeShade="80"/>
        </w:rPr>
        <w:t>（参考）「疑義解釈資料の送付について（その７）」（令和８年５月</w:t>
      </w:r>
      <w:r w:rsidRPr="00C278DA">
        <w:rPr>
          <w:color w:val="808080" w:themeColor="background1" w:themeShade="80"/>
        </w:rPr>
        <w:t xml:space="preserve"> 29 日事務連絡）別添１</w:t>
      </w:r>
    </w:p>
    <w:p w14:paraId="3CB5ECCE" w14:textId="77777777" w:rsidR="006845D5" w:rsidRPr="00C278DA" w:rsidRDefault="006845D5" w:rsidP="006845D5">
      <w:pPr>
        <w:rPr>
          <w:color w:val="808080" w:themeColor="background1" w:themeShade="80"/>
        </w:rPr>
      </w:pPr>
      <w:r w:rsidRPr="00C278DA">
        <w:rPr>
          <w:rFonts w:hint="eastAsia"/>
          <w:color w:val="808080" w:themeColor="background1" w:themeShade="80"/>
        </w:rPr>
        <w:t>問３</w:t>
      </w:r>
      <w:r w:rsidRPr="00C278DA">
        <w:rPr>
          <w:color w:val="808080" w:themeColor="background1" w:themeShade="80"/>
        </w:rPr>
        <w:t xml:space="preserve"> 「Ａ０００」電子的診療情報連携体制整備加算の施設基準に「電子処方箋を発行する体制又は調剤情報を電子処方箋管理サービスに登録する体制」とあるが、当該保険医療機関の全ての医師が電子処方箋システムを利用できる体制が必要となるか。</w:t>
      </w:r>
    </w:p>
    <w:p w14:paraId="35F29732" w14:textId="77777777" w:rsidR="00C278DA" w:rsidRPr="00C278DA" w:rsidRDefault="00C278DA" w:rsidP="006845D5">
      <w:pPr>
        <w:rPr>
          <w:color w:val="808080" w:themeColor="background1" w:themeShade="80"/>
        </w:rPr>
      </w:pPr>
    </w:p>
    <w:p w14:paraId="04796D63" w14:textId="38A1E59D" w:rsidR="006845D5" w:rsidRPr="00C278DA" w:rsidRDefault="006845D5" w:rsidP="006845D5">
      <w:pPr>
        <w:rPr>
          <w:color w:val="808080" w:themeColor="background1" w:themeShade="80"/>
        </w:rPr>
      </w:pPr>
      <w:r w:rsidRPr="00C278DA">
        <w:rPr>
          <w:rFonts w:hint="eastAsia"/>
          <w:color w:val="808080" w:themeColor="background1" w:themeShade="80"/>
        </w:rPr>
        <w:t>（答）原則として、当該保険医療機関において処方を行う医師全員が電子処方箋を発行できること。ただし、当面の間、当該保険医療機関において２名以上（常勤医師が１名のみの場合は１名以上）の常勤医師が電子処方箋を発行できればよい。なお、処方を行う医師であって、電子処方箋を発行できない者は引換番号付き紙処方箋を処方すること。</w:t>
      </w:r>
    </w:p>
    <w:p w14:paraId="416622E4" w14:textId="77777777" w:rsidR="006845D5" w:rsidRDefault="006845D5" w:rsidP="006845D5"/>
    <w:p w14:paraId="065559F3" w14:textId="77777777" w:rsidR="006845D5" w:rsidRPr="006231E2" w:rsidRDefault="006845D5" w:rsidP="006845D5">
      <w:pPr>
        <w:rPr>
          <w:b/>
          <w:bCs/>
        </w:rPr>
      </w:pPr>
      <w:r w:rsidRPr="006231E2">
        <w:rPr>
          <w:rFonts w:hint="eastAsia"/>
          <w:b/>
          <w:bCs/>
        </w:rPr>
        <w:t>問３</w:t>
      </w:r>
      <w:r w:rsidRPr="006231E2">
        <w:rPr>
          <w:b/>
          <w:bCs/>
        </w:rPr>
        <w:t xml:space="preserve"> 「Ａ０００」電子的診療情報連携体制整備加算の施設基準における「アからウの全て又はエを満たす電子カルテを有していること」の「イ 電子処方箋管理サービスとの接続インターフェースを有していること。」という要件について、「疑義解釈資料の送付について（その４）」（令和８年４月 21 日事務連絡）別添１の問２において、「電子処方箋の運用開始日が登録され、厚生労働省ウェブサイトにおいて電子処方箋対応施設として公表されている状態を指す。」とあるが、電子処方箋システムの導入が完了し、電子署名のためのカードリーダーが必要</w:t>
      </w:r>
      <w:r w:rsidRPr="006231E2">
        <w:rPr>
          <w:rFonts w:hint="eastAsia"/>
          <w:b/>
          <w:bCs/>
        </w:rPr>
        <w:t>な場合にはカードリーダーを購入済みの場合であって、電子処方箋の利用申請は行ったが、</w:t>
      </w:r>
      <w:r w:rsidRPr="006231E2">
        <w:rPr>
          <w:b/>
          <w:bCs/>
        </w:rPr>
        <w:t>HPKI カードの取得待ちで電子処方箋の発行ができない状況でも要件を満たすか。</w:t>
      </w:r>
    </w:p>
    <w:p w14:paraId="13687FF2" w14:textId="77777777" w:rsidR="006845D5" w:rsidRPr="006231E2" w:rsidRDefault="006845D5" w:rsidP="006845D5">
      <w:pPr>
        <w:rPr>
          <w:b/>
          <w:bCs/>
        </w:rPr>
      </w:pPr>
    </w:p>
    <w:p w14:paraId="2B011106" w14:textId="77777777" w:rsidR="006845D5" w:rsidRPr="006231E2" w:rsidRDefault="006845D5" w:rsidP="006845D5">
      <w:pPr>
        <w:rPr>
          <w:b/>
          <w:bCs/>
        </w:rPr>
      </w:pPr>
      <w:r w:rsidRPr="006231E2">
        <w:rPr>
          <w:rFonts w:hint="eastAsia"/>
          <w:b/>
          <w:bCs/>
        </w:rPr>
        <w:t>（答）当面の間に限り、</w:t>
      </w:r>
      <w:r w:rsidRPr="006231E2">
        <w:rPr>
          <w:b/>
          <w:bCs/>
        </w:rPr>
        <w:t>HPKI カードの取得待ちの場合であっても当該要件を満たすこととする。ただし、</w:t>
      </w:r>
      <w:r w:rsidRPr="006231E2">
        <w:rPr>
          <w:b/>
          <w:bCs/>
          <w:color w:val="EE0000"/>
        </w:rPr>
        <w:t>HPKI カードを取得した日以降は、速やかに電子処方箋の運用開始日の登録を行ったうえ、実際に電子処方箋を発行し、又は引換番号が印字された紙の処方箋を発行し処方情報の登録を行う必要がある</w:t>
      </w:r>
      <w:r w:rsidRPr="006231E2">
        <w:rPr>
          <w:b/>
          <w:bCs/>
        </w:rPr>
        <w:t>こと。</w:t>
      </w:r>
    </w:p>
    <w:p w14:paraId="62F6F02A" w14:textId="77777777" w:rsidR="006845D5" w:rsidRDefault="006845D5" w:rsidP="006845D5"/>
    <w:p w14:paraId="3668650F" w14:textId="77777777" w:rsidR="006845D5" w:rsidRPr="00C278DA" w:rsidRDefault="006845D5" w:rsidP="006845D5">
      <w:pPr>
        <w:rPr>
          <w:color w:val="808080" w:themeColor="background1" w:themeShade="80"/>
        </w:rPr>
      </w:pPr>
      <w:r w:rsidRPr="00C278DA">
        <w:rPr>
          <w:rFonts w:hint="eastAsia"/>
          <w:color w:val="808080" w:themeColor="background1" w:themeShade="80"/>
        </w:rPr>
        <w:t>（参考）「疑義解釈資料の送付について（その４）」（令和８年４月</w:t>
      </w:r>
      <w:r w:rsidRPr="00C278DA">
        <w:rPr>
          <w:color w:val="808080" w:themeColor="background1" w:themeShade="80"/>
        </w:rPr>
        <w:t xml:space="preserve"> 21 日事務連絡）別添１</w:t>
      </w:r>
    </w:p>
    <w:p w14:paraId="5DF9B635" w14:textId="77777777" w:rsidR="006845D5" w:rsidRPr="00C278DA" w:rsidRDefault="006845D5" w:rsidP="006845D5">
      <w:pPr>
        <w:rPr>
          <w:color w:val="808080" w:themeColor="background1" w:themeShade="80"/>
        </w:rPr>
      </w:pPr>
      <w:r w:rsidRPr="00C278DA">
        <w:rPr>
          <w:rFonts w:hint="eastAsia"/>
          <w:color w:val="808080" w:themeColor="background1" w:themeShade="80"/>
        </w:rPr>
        <w:t>問２</w:t>
      </w:r>
      <w:r w:rsidRPr="00C278DA">
        <w:rPr>
          <w:color w:val="808080" w:themeColor="background1" w:themeShade="80"/>
        </w:rPr>
        <w:t xml:space="preserve"> 電子的診療情報連携体制整備加算の施設基準について、「電子処方箋管理サービスと</w:t>
      </w:r>
      <w:r w:rsidRPr="00C278DA">
        <w:rPr>
          <w:color w:val="808080" w:themeColor="background1" w:themeShade="80"/>
        </w:rPr>
        <w:lastRenderedPageBreak/>
        <w:t>の接続インターフェースを有していること。」とあるが、具体的には何を指すか。</w:t>
      </w:r>
    </w:p>
    <w:p w14:paraId="4FCFED37" w14:textId="77777777" w:rsidR="006845D5" w:rsidRPr="00C278DA" w:rsidRDefault="006845D5" w:rsidP="006845D5">
      <w:pPr>
        <w:rPr>
          <w:color w:val="808080" w:themeColor="background1" w:themeShade="80"/>
        </w:rPr>
      </w:pPr>
    </w:p>
    <w:p w14:paraId="76CC2846" w14:textId="77777777" w:rsidR="006845D5" w:rsidRPr="00C278DA" w:rsidRDefault="006845D5" w:rsidP="006845D5">
      <w:pPr>
        <w:rPr>
          <w:color w:val="808080" w:themeColor="background1" w:themeShade="80"/>
        </w:rPr>
      </w:pPr>
      <w:r w:rsidRPr="00C278DA">
        <w:rPr>
          <w:rFonts w:hint="eastAsia"/>
          <w:color w:val="808080" w:themeColor="background1" w:themeShade="80"/>
        </w:rPr>
        <w:t>（答）電子処方箋の運用開始日が登録され、厚生労働省ウェブサイトにおいて電子処方箋対応施設として公表されている状態を指す。なお、運用開始日の登録に際しては、医療機関等向け総合ポータルサイトから運用開始日入力を行うこと。</w:t>
      </w:r>
    </w:p>
    <w:p w14:paraId="51CF2C52" w14:textId="77777777" w:rsidR="0053525F" w:rsidRPr="006845D5" w:rsidRDefault="0053525F"/>
    <w:sectPr w:rsidR="0053525F" w:rsidRPr="006845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D5"/>
    <w:rsid w:val="00302C04"/>
    <w:rsid w:val="0053525F"/>
    <w:rsid w:val="00604725"/>
    <w:rsid w:val="006231E2"/>
    <w:rsid w:val="00635725"/>
    <w:rsid w:val="006624FB"/>
    <w:rsid w:val="006845D5"/>
    <w:rsid w:val="00C278DA"/>
    <w:rsid w:val="00D4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0CF29"/>
  <w15:chartTrackingRefBased/>
  <w15:docId w15:val="{E5FE9920-DC23-4453-A28B-ACCBA6F4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5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45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45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45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45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45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45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45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45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5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5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5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45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5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5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5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5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5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5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4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5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4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5D5"/>
    <w:pPr>
      <w:spacing w:before="160" w:after="160"/>
      <w:jc w:val="center"/>
    </w:pPr>
    <w:rPr>
      <w:i/>
      <w:iCs/>
      <w:color w:val="404040" w:themeColor="text1" w:themeTint="BF"/>
    </w:rPr>
  </w:style>
  <w:style w:type="character" w:customStyle="1" w:styleId="a8">
    <w:name w:val="引用文 (文字)"/>
    <w:basedOn w:val="a0"/>
    <w:link w:val="a7"/>
    <w:uiPriority w:val="29"/>
    <w:rsid w:val="006845D5"/>
    <w:rPr>
      <w:i/>
      <w:iCs/>
      <w:color w:val="404040" w:themeColor="text1" w:themeTint="BF"/>
    </w:rPr>
  </w:style>
  <w:style w:type="paragraph" w:styleId="a9">
    <w:name w:val="List Paragraph"/>
    <w:basedOn w:val="a"/>
    <w:uiPriority w:val="34"/>
    <w:qFormat/>
    <w:rsid w:val="006845D5"/>
    <w:pPr>
      <w:ind w:left="720"/>
      <w:contextualSpacing/>
    </w:pPr>
  </w:style>
  <w:style w:type="character" w:styleId="21">
    <w:name w:val="Intense Emphasis"/>
    <w:basedOn w:val="a0"/>
    <w:uiPriority w:val="21"/>
    <w:qFormat/>
    <w:rsid w:val="006845D5"/>
    <w:rPr>
      <w:i/>
      <w:iCs/>
      <w:color w:val="0F4761" w:themeColor="accent1" w:themeShade="BF"/>
    </w:rPr>
  </w:style>
  <w:style w:type="paragraph" w:styleId="22">
    <w:name w:val="Intense Quote"/>
    <w:basedOn w:val="a"/>
    <w:next w:val="a"/>
    <w:link w:val="23"/>
    <w:uiPriority w:val="30"/>
    <w:qFormat/>
    <w:rsid w:val="00684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45D5"/>
    <w:rPr>
      <w:i/>
      <w:iCs/>
      <w:color w:val="0F4761" w:themeColor="accent1" w:themeShade="BF"/>
    </w:rPr>
  </w:style>
  <w:style w:type="character" w:styleId="24">
    <w:name w:val="Intense Reference"/>
    <w:basedOn w:val="a0"/>
    <w:uiPriority w:val="32"/>
    <w:qFormat/>
    <w:rsid w:val="00684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941</TotalTime>
  <Pages>4</Pages>
  <Words>1639</Words>
  <Characters>1804</Characters>
  <Application>Microsoft Office Word</Application>
  <DocSecurity>0</DocSecurity>
  <Lines>85</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昭輝 荒木</dc:creator>
  <cp:keywords/>
  <dc:description/>
  <cp:lastModifiedBy>昭輝 荒木</cp:lastModifiedBy>
  <cp:revision>1</cp:revision>
  <dcterms:created xsi:type="dcterms:W3CDTF">2026-06-29T02:16:00Z</dcterms:created>
  <dcterms:modified xsi:type="dcterms:W3CDTF">2026-07-01T02:17:00Z</dcterms:modified>
</cp:coreProperties>
</file>